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5" w:type="dxa"/>
        <w:jc w:val="center"/>
        <w:tblCellMar>
          <w:left w:w="0" w:type="dxa"/>
          <w:right w:w="0" w:type="dxa"/>
        </w:tblCellMar>
        <w:tblLook w:val="04A0" w:firstRow="1" w:lastRow="0" w:firstColumn="1" w:lastColumn="0" w:noHBand="0" w:noVBand="1"/>
      </w:tblPr>
      <w:tblGrid>
        <w:gridCol w:w="9105"/>
      </w:tblGrid>
      <w:tr w:rsidR="00EA7964" w:rsidTr="00EA7964">
        <w:trPr>
          <w:jc w:val="center"/>
        </w:trPr>
        <w:tc>
          <w:tcPr>
            <w:tcW w:w="0" w:type="auto"/>
          </w:tcPr>
          <w:p w:rsidR="00EA7964" w:rsidRDefault="00EA7964">
            <w:pPr>
              <w:pStyle w:val="NormalWeb"/>
            </w:pPr>
            <w:r>
              <w:rPr>
                <w:rFonts w:ascii="Verdana" w:hAnsi="Verdana"/>
                <w:noProof/>
                <w:sz w:val="21"/>
                <w:szCs w:val="21"/>
              </w:rPr>
              <w:drawing>
                <wp:inline distT="0" distB="0" distL="0" distR="0">
                  <wp:extent cx="5676900" cy="1200150"/>
                  <wp:effectExtent l="0" t="0" r="0" b="0"/>
                  <wp:docPr id="3" name="Picture 3" descr="http://www.cppaq.com.au/Resources/Pictures/CPPAQ%20Logos/CPPAQ%20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paq.com.au/Resources/Pictures/CPPAQ%20Logos/CPPAQ%20header%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1200150"/>
                          </a:xfrm>
                          <a:prstGeom prst="rect">
                            <a:avLst/>
                          </a:prstGeom>
                          <a:noFill/>
                          <a:ln>
                            <a:noFill/>
                          </a:ln>
                        </pic:spPr>
                      </pic:pic>
                    </a:graphicData>
                  </a:graphic>
                </wp:inline>
              </w:drawing>
            </w:r>
          </w:p>
          <w:p w:rsidR="00EA7964" w:rsidRDefault="00EA7964">
            <w:pPr>
              <w:pStyle w:val="NormalWeb"/>
              <w:spacing w:line="330" w:lineRule="atLeast"/>
              <w:jc w:val="center"/>
            </w:pPr>
            <w:r>
              <w:rPr>
                <w:rStyle w:val="Strong"/>
                <w:rFonts w:ascii="Verdana" w:hAnsi="Verdana"/>
                <w:color w:val="000066"/>
                <w:sz w:val="21"/>
                <w:szCs w:val="21"/>
              </w:rPr>
              <w:t>CPPAQ Practice Paper - REMINDER</w:t>
            </w:r>
          </w:p>
          <w:p w:rsidR="00EA7964" w:rsidRDefault="00EA7964">
            <w:pPr>
              <w:pStyle w:val="NormalWeb"/>
              <w:spacing w:line="330" w:lineRule="atLeast"/>
              <w:jc w:val="center"/>
            </w:pPr>
            <w:r>
              <w:rPr>
                <w:rStyle w:val="Strong"/>
                <w:rFonts w:ascii="Verdana" w:hAnsi="Verdana"/>
                <w:color w:val="CC0000"/>
                <w:sz w:val="30"/>
                <w:szCs w:val="30"/>
              </w:rPr>
              <w:t>Young People and Gender Dysphoria</w:t>
            </w:r>
            <w:r>
              <w:rPr>
                <w:rFonts w:ascii="Verdana" w:hAnsi="Verdana"/>
                <w:b/>
                <w:bCs/>
                <w:color w:val="CC0000"/>
                <w:sz w:val="21"/>
                <w:szCs w:val="21"/>
              </w:rPr>
              <w:br/>
            </w:r>
            <w:r>
              <w:rPr>
                <w:rFonts w:ascii="Verdana" w:hAnsi="Verdana"/>
                <w:color w:val="000066"/>
                <w:sz w:val="21"/>
                <w:szCs w:val="21"/>
              </w:rPr>
              <w:t>A parent of a child who is at the beginning of transition joins the panel of speakers</w:t>
            </w:r>
          </w:p>
          <w:p w:rsidR="00EA7964" w:rsidRDefault="00EA7964">
            <w:pPr>
              <w:pStyle w:val="NormalWeb"/>
              <w:spacing w:line="330" w:lineRule="atLeast"/>
              <w:jc w:val="center"/>
            </w:pPr>
            <w:r>
              <w:rPr>
                <w:rStyle w:val="Strong"/>
                <w:rFonts w:ascii="Verdana" w:hAnsi="Verdana"/>
                <w:color w:val="CC0000"/>
                <w:sz w:val="21"/>
                <w:szCs w:val="21"/>
              </w:rPr>
              <w:t>Wednesday 7 December 2016 at 5.30pm</w:t>
            </w:r>
          </w:p>
          <w:p w:rsidR="00EA7964" w:rsidRDefault="00EA7964">
            <w:pPr>
              <w:pStyle w:val="NormalWeb"/>
              <w:spacing w:line="330" w:lineRule="atLeast"/>
              <w:jc w:val="center"/>
            </w:pPr>
            <w:r>
              <w:rPr>
                <w:rStyle w:val="Strong"/>
                <w:rFonts w:ascii="Verdana" w:hAnsi="Verdana"/>
                <w:color w:val="000066"/>
                <w:sz w:val="21"/>
                <w:szCs w:val="21"/>
              </w:rPr>
              <w:t>Chair: The Honourable Justice Colin Forrest, Family Court of Australia</w:t>
            </w:r>
          </w:p>
          <w:p w:rsidR="00EA7964" w:rsidRDefault="00EA7964">
            <w:pPr>
              <w:pStyle w:val="NormalWeb"/>
              <w:spacing w:line="330" w:lineRule="atLeast"/>
            </w:pPr>
            <w:r>
              <w:rPr>
                <w:rStyle w:val="Strong"/>
                <w:rFonts w:ascii="Verdana" w:hAnsi="Verdana"/>
                <w:color w:val="000066"/>
                <w:sz w:val="21"/>
                <w:szCs w:val="21"/>
              </w:rPr>
              <w:t>Announcement:</w:t>
            </w:r>
            <w:r>
              <w:rPr>
                <w:rFonts w:ascii="Verdana" w:hAnsi="Verdana"/>
                <w:color w:val="000066"/>
                <w:sz w:val="21"/>
                <w:szCs w:val="21"/>
              </w:rPr>
              <w:t xml:space="preserve"> We are honoured to have Sue Swinburne joining </w:t>
            </w:r>
            <w:proofErr w:type="spellStart"/>
            <w:r>
              <w:rPr>
                <w:rFonts w:ascii="Verdana" w:hAnsi="Verdana"/>
                <w:color w:val="000066"/>
                <w:sz w:val="21"/>
                <w:szCs w:val="21"/>
              </w:rPr>
              <w:t>ourPanel</w:t>
            </w:r>
            <w:proofErr w:type="spellEnd"/>
            <w:r>
              <w:rPr>
                <w:rFonts w:ascii="Verdana" w:hAnsi="Verdana"/>
                <w:color w:val="000066"/>
                <w:sz w:val="21"/>
                <w:szCs w:val="21"/>
              </w:rPr>
              <w:t xml:space="preserve"> of speakers. Sue's daughter is a 10 year old transgender girl </w:t>
            </w:r>
            <w:proofErr w:type="spellStart"/>
            <w:r>
              <w:rPr>
                <w:rFonts w:ascii="Verdana" w:hAnsi="Verdana"/>
                <w:color w:val="000066"/>
                <w:sz w:val="21"/>
                <w:szCs w:val="21"/>
              </w:rPr>
              <w:t>namedAnnabelle</w:t>
            </w:r>
            <w:proofErr w:type="spellEnd"/>
            <w:r>
              <w:rPr>
                <w:rFonts w:ascii="Verdana" w:hAnsi="Verdana"/>
                <w:color w:val="000066"/>
                <w:sz w:val="21"/>
                <w:szCs w:val="21"/>
              </w:rPr>
              <w:t xml:space="preserve"> - who transitioned late last year.  Sue will speak about </w:t>
            </w:r>
            <w:proofErr w:type="spellStart"/>
            <w:r>
              <w:rPr>
                <w:rFonts w:ascii="Verdana" w:hAnsi="Verdana"/>
                <w:color w:val="000066"/>
                <w:sz w:val="21"/>
                <w:szCs w:val="21"/>
              </w:rPr>
              <w:t>thejourney</w:t>
            </w:r>
            <w:proofErr w:type="spellEnd"/>
            <w:r>
              <w:rPr>
                <w:rFonts w:ascii="Verdana" w:hAnsi="Verdana"/>
                <w:color w:val="000066"/>
                <w:sz w:val="21"/>
                <w:szCs w:val="21"/>
              </w:rPr>
              <w:t xml:space="preserve"> for their daughter and their family, and the challenges and hurdles </w:t>
            </w:r>
            <w:proofErr w:type="spellStart"/>
            <w:r>
              <w:rPr>
                <w:rFonts w:ascii="Verdana" w:hAnsi="Verdana"/>
                <w:color w:val="000066"/>
                <w:sz w:val="21"/>
                <w:szCs w:val="21"/>
              </w:rPr>
              <w:t>onthe</w:t>
            </w:r>
            <w:proofErr w:type="spellEnd"/>
            <w:r>
              <w:rPr>
                <w:rFonts w:ascii="Verdana" w:hAnsi="Verdana"/>
                <w:color w:val="000066"/>
                <w:sz w:val="21"/>
                <w:szCs w:val="21"/>
              </w:rPr>
              <w:t xml:space="preserve"> path that lies ahead in Annabelle's future.</w:t>
            </w:r>
          </w:p>
          <w:p w:rsidR="00EA7964" w:rsidRDefault="00EA7964">
            <w:pPr>
              <w:pStyle w:val="NormalWeb"/>
              <w:spacing w:line="330" w:lineRule="atLeast"/>
            </w:pPr>
            <w:r>
              <w:rPr>
                <w:rStyle w:val="Strong"/>
                <w:rFonts w:ascii="Verdana" w:hAnsi="Verdana"/>
                <w:color w:val="808080"/>
                <w:sz w:val="21"/>
                <w:szCs w:val="21"/>
              </w:rPr>
              <w:t> Speakers:</w:t>
            </w:r>
          </w:p>
          <w:p w:rsidR="00EA7964" w:rsidRDefault="00EA7964" w:rsidP="00B8218E">
            <w:pPr>
              <w:numPr>
                <w:ilvl w:val="0"/>
                <w:numId w:val="1"/>
              </w:numPr>
              <w:spacing w:before="100" w:beforeAutospacing="1" w:after="100" w:afterAutospacing="1" w:line="330" w:lineRule="atLeast"/>
              <w:rPr>
                <w:rFonts w:eastAsia="Times New Roman"/>
              </w:rPr>
            </w:pPr>
            <w:r>
              <w:rPr>
                <w:rFonts w:ascii="Verdana" w:eastAsia="Times New Roman" w:hAnsi="Verdana"/>
                <w:color w:val="808080"/>
                <w:sz w:val="21"/>
                <w:szCs w:val="21"/>
              </w:rPr>
              <w:t xml:space="preserve">Olivia </w:t>
            </w:r>
            <w:proofErr w:type="spellStart"/>
            <w:r>
              <w:rPr>
                <w:rFonts w:ascii="Verdana" w:eastAsia="Times New Roman" w:hAnsi="Verdana"/>
                <w:color w:val="808080"/>
                <w:sz w:val="21"/>
                <w:szCs w:val="21"/>
              </w:rPr>
              <w:t>Donaghy</w:t>
            </w:r>
            <w:proofErr w:type="spellEnd"/>
            <w:r>
              <w:rPr>
                <w:rFonts w:ascii="Verdana" w:eastAsia="Times New Roman" w:hAnsi="Verdana"/>
                <w:color w:val="808080"/>
                <w:sz w:val="21"/>
                <w:szCs w:val="21"/>
              </w:rPr>
              <w:br/>
              <w:t xml:space="preserve">Olivia is a Registered Psychologist and Team Leader within Children’s Health Queensland Hospital and Health Service Child &amp; Youth Mental Health. Olivia has worked for over 10 years with adults and young people who feel a sense of incongruity between one’s gender identity and birth sex.  In private practice, Olivia has previously worked alongside Dr </w:t>
            </w:r>
            <w:proofErr w:type="spellStart"/>
            <w:r>
              <w:rPr>
                <w:rFonts w:ascii="Verdana" w:eastAsia="Times New Roman" w:hAnsi="Verdana"/>
                <w:color w:val="808080"/>
                <w:sz w:val="21"/>
                <w:szCs w:val="21"/>
              </w:rPr>
              <w:t>Bearman’s</w:t>
            </w:r>
            <w:proofErr w:type="spellEnd"/>
            <w:r>
              <w:rPr>
                <w:rFonts w:ascii="Verdana" w:eastAsia="Times New Roman" w:hAnsi="Verdana"/>
                <w:color w:val="808080"/>
                <w:sz w:val="21"/>
                <w:szCs w:val="21"/>
              </w:rPr>
              <w:t xml:space="preserve"> Brisbane Gender Clinic for adults and continues to see children and teenagers with different gender expression and support those seeking medical intervention for gender dysphoria.</w:t>
            </w:r>
            <w:r>
              <w:rPr>
                <w:rFonts w:ascii="Verdana" w:eastAsia="Times New Roman" w:hAnsi="Verdana"/>
                <w:color w:val="808080"/>
                <w:sz w:val="21"/>
                <w:szCs w:val="21"/>
              </w:rPr>
              <w:br/>
              <w:t>                </w:t>
            </w:r>
          </w:p>
          <w:p w:rsidR="00EA7964" w:rsidRDefault="00EA7964" w:rsidP="00B8218E">
            <w:pPr>
              <w:numPr>
                <w:ilvl w:val="0"/>
                <w:numId w:val="1"/>
              </w:numPr>
              <w:spacing w:before="100" w:beforeAutospacing="1" w:after="240" w:line="330" w:lineRule="atLeast"/>
              <w:rPr>
                <w:rFonts w:eastAsia="Times New Roman"/>
              </w:rPr>
            </w:pPr>
            <w:r>
              <w:rPr>
                <w:rFonts w:ascii="Verdana" w:eastAsia="Times New Roman" w:hAnsi="Verdana"/>
                <w:color w:val="808080"/>
                <w:sz w:val="21"/>
                <w:szCs w:val="21"/>
              </w:rPr>
              <w:t>Graham Perrett MP</w:t>
            </w:r>
            <w:r>
              <w:rPr>
                <w:rFonts w:ascii="Verdana" w:eastAsia="Times New Roman" w:hAnsi="Verdana"/>
                <w:color w:val="808080"/>
                <w:sz w:val="21"/>
                <w:szCs w:val="21"/>
              </w:rPr>
              <w:br/>
              <w:t xml:space="preserve">Graham is a member of the Australian House of Representatives in the seat of Moreton. Graham has a diploma of teaching and a Bachelor of Laws.  Graham is the Co-chair of the LGBTIQ Parliamentary Friendship Group.  The Friendship Group is a bipartisan group and they have recently considered the issue of how family law is currently responding to the needs of children who experience difference and diversity in sexual formation and what changes are </w:t>
            </w:r>
            <w:r>
              <w:rPr>
                <w:rFonts w:ascii="Verdana" w:eastAsia="Times New Roman" w:hAnsi="Verdana"/>
                <w:color w:val="808080"/>
                <w:sz w:val="21"/>
                <w:szCs w:val="21"/>
              </w:rPr>
              <w:lastRenderedPageBreak/>
              <w:t>required in the law to provide children with better responses when making decisions about the treatment of transsexual children.</w:t>
            </w:r>
          </w:p>
          <w:tbl>
            <w:tblPr>
              <w:tblW w:w="7560" w:type="dxa"/>
              <w:tblCellMar>
                <w:left w:w="0" w:type="dxa"/>
                <w:right w:w="0" w:type="dxa"/>
              </w:tblCellMar>
              <w:tblLook w:val="04A0" w:firstRow="1" w:lastRow="0" w:firstColumn="1" w:lastColumn="0" w:noHBand="0" w:noVBand="1"/>
            </w:tblPr>
            <w:tblGrid>
              <w:gridCol w:w="3994"/>
              <w:gridCol w:w="3566"/>
            </w:tblGrid>
            <w:tr w:rsidR="00EA7964">
              <w:tc>
                <w:tcPr>
                  <w:tcW w:w="0" w:type="auto"/>
                  <w:hideMark/>
                </w:tcPr>
                <w:p w:rsidR="00EA7964" w:rsidRDefault="00EA7964">
                  <w:pPr>
                    <w:pStyle w:val="NormalWeb"/>
                  </w:pPr>
                  <w:r>
                    <w:rPr>
                      <w:rFonts w:ascii="Verdana" w:hAnsi="Verdana"/>
                      <w:b/>
                      <w:bCs/>
                      <w:color w:val="000066"/>
                      <w:sz w:val="21"/>
                      <w:szCs w:val="21"/>
                    </w:rPr>
                    <w:br/>
                  </w:r>
                  <w:r>
                    <w:rPr>
                      <w:rStyle w:val="Strong"/>
                      <w:rFonts w:ascii="Verdana" w:hAnsi="Verdana"/>
                      <w:color w:val="000066"/>
                      <w:sz w:val="21"/>
                      <w:szCs w:val="21"/>
                    </w:rPr>
                    <w:t>REGISTRATION: </w:t>
                  </w:r>
                  <w:r>
                    <w:rPr>
                      <w:rFonts w:ascii="Verdana" w:hAnsi="Verdana"/>
                      <w:b/>
                      <w:bCs/>
                      <w:color w:val="000066"/>
                      <w:sz w:val="21"/>
                      <w:szCs w:val="21"/>
                    </w:rPr>
                    <w:br/>
                  </w:r>
                  <w:r>
                    <w:rPr>
                      <w:rStyle w:val="Strong"/>
                      <w:rFonts w:ascii="Verdana" w:hAnsi="Verdana"/>
                      <w:color w:val="000066"/>
                      <w:sz w:val="21"/>
                      <w:szCs w:val="21"/>
                    </w:rPr>
                    <w:t>PRESENTATIONS: </w:t>
                  </w:r>
                  <w:r>
                    <w:rPr>
                      <w:rFonts w:ascii="Verdana" w:hAnsi="Verdana"/>
                      <w:b/>
                      <w:bCs/>
                      <w:color w:val="000066"/>
                      <w:sz w:val="21"/>
                      <w:szCs w:val="21"/>
                    </w:rPr>
                    <w:br/>
                  </w:r>
                  <w:r>
                    <w:rPr>
                      <w:rStyle w:val="Strong"/>
                      <w:rFonts w:ascii="Verdana" w:hAnsi="Verdana"/>
                      <w:color w:val="000066"/>
                      <w:sz w:val="21"/>
                      <w:szCs w:val="21"/>
                    </w:rPr>
                    <w:t>DRINKS AND NETWORKING</w:t>
                  </w:r>
                </w:p>
              </w:tc>
              <w:tc>
                <w:tcPr>
                  <w:tcW w:w="0" w:type="auto"/>
                  <w:hideMark/>
                </w:tcPr>
                <w:p w:rsidR="00EA7964" w:rsidRDefault="00EA7964">
                  <w:pPr>
                    <w:pStyle w:val="NormalWeb"/>
                  </w:pPr>
                  <w:r>
                    <w:rPr>
                      <w:rFonts w:ascii="Verdana" w:hAnsi="Verdana"/>
                      <w:b/>
                      <w:bCs/>
                      <w:color w:val="000066"/>
                      <w:sz w:val="21"/>
                      <w:szCs w:val="21"/>
                    </w:rPr>
                    <w:br/>
                  </w:r>
                  <w:r>
                    <w:rPr>
                      <w:rStyle w:val="Strong"/>
                      <w:rFonts w:ascii="Verdana" w:hAnsi="Verdana"/>
                      <w:color w:val="000066"/>
                      <w:sz w:val="21"/>
                      <w:szCs w:val="21"/>
                    </w:rPr>
                    <w:t>5.00 PM</w:t>
                  </w:r>
                  <w:r>
                    <w:rPr>
                      <w:rFonts w:ascii="Verdana" w:hAnsi="Verdana"/>
                      <w:sz w:val="21"/>
                      <w:szCs w:val="21"/>
                    </w:rPr>
                    <w:t xml:space="preserve"> </w:t>
                  </w:r>
                  <w:r>
                    <w:rPr>
                      <w:rFonts w:ascii="Verdana" w:hAnsi="Verdana"/>
                      <w:b/>
                      <w:bCs/>
                      <w:color w:val="000066"/>
                      <w:sz w:val="21"/>
                      <w:szCs w:val="21"/>
                    </w:rPr>
                    <w:br/>
                  </w:r>
                  <w:r>
                    <w:rPr>
                      <w:rStyle w:val="Strong"/>
                      <w:rFonts w:ascii="Verdana" w:hAnsi="Verdana"/>
                      <w:color w:val="000066"/>
                      <w:sz w:val="21"/>
                      <w:szCs w:val="21"/>
                    </w:rPr>
                    <w:t>5.30 PM – 6.30 PM</w:t>
                  </w:r>
                  <w:r>
                    <w:rPr>
                      <w:rFonts w:ascii="Verdana" w:hAnsi="Verdana"/>
                      <w:b/>
                      <w:bCs/>
                      <w:color w:val="000066"/>
                      <w:sz w:val="21"/>
                      <w:szCs w:val="21"/>
                    </w:rPr>
                    <w:br/>
                  </w:r>
                  <w:r>
                    <w:rPr>
                      <w:rStyle w:val="Strong"/>
                      <w:rFonts w:ascii="Verdana" w:hAnsi="Verdana"/>
                      <w:color w:val="000066"/>
                      <w:sz w:val="21"/>
                      <w:szCs w:val="21"/>
                    </w:rPr>
                    <w:t>TO FOLLOW</w:t>
                  </w:r>
                </w:p>
              </w:tc>
            </w:tr>
            <w:tr w:rsidR="00EA7964">
              <w:tc>
                <w:tcPr>
                  <w:tcW w:w="0" w:type="auto"/>
                  <w:hideMark/>
                </w:tcPr>
                <w:p w:rsidR="00EA7964" w:rsidRDefault="00EA7964">
                  <w:pPr>
                    <w:pStyle w:val="NormalWeb"/>
                  </w:pPr>
                  <w:r>
                    <w:rPr>
                      <w:rFonts w:ascii="Verdana" w:hAnsi="Verdana"/>
                      <w:b/>
                      <w:bCs/>
                      <w:color w:val="000066"/>
                      <w:sz w:val="21"/>
                      <w:szCs w:val="21"/>
                    </w:rPr>
                    <w:br/>
                  </w:r>
                  <w:r>
                    <w:rPr>
                      <w:rStyle w:val="Strong"/>
                      <w:rFonts w:ascii="Verdana" w:hAnsi="Verdana"/>
                      <w:color w:val="000066"/>
                      <w:sz w:val="21"/>
                      <w:szCs w:val="21"/>
                    </w:rPr>
                    <w:t>VENUE:</w:t>
                  </w:r>
                  <w:r>
                    <w:rPr>
                      <w:rFonts w:ascii="Verdana" w:hAnsi="Verdana"/>
                      <w:sz w:val="21"/>
                      <w:szCs w:val="21"/>
                    </w:rPr>
                    <w:t xml:space="preserve"> </w:t>
                  </w:r>
                  <w:r>
                    <w:rPr>
                      <w:rFonts w:ascii="Verdana" w:hAnsi="Verdana"/>
                      <w:color w:val="000066"/>
                      <w:sz w:val="21"/>
                      <w:szCs w:val="21"/>
                    </w:rPr>
                    <w:t>     </w:t>
                  </w:r>
                </w:p>
              </w:tc>
              <w:tc>
                <w:tcPr>
                  <w:tcW w:w="0" w:type="auto"/>
                  <w:hideMark/>
                </w:tcPr>
                <w:p w:rsidR="00EA7964" w:rsidRDefault="00EA7964">
                  <w:pPr>
                    <w:pStyle w:val="NormalWeb"/>
                  </w:pPr>
                  <w:r>
                    <w:rPr>
                      <w:rFonts w:ascii="Verdana" w:hAnsi="Verdana"/>
                      <w:b/>
                      <w:bCs/>
                      <w:color w:val="000066"/>
                      <w:sz w:val="21"/>
                      <w:szCs w:val="21"/>
                    </w:rPr>
                    <w:br/>
                  </w:r>
                  <w:r>
                    <w:rPr>
                      <w:rStyle w:val="Strong"/>
                      <w:rFonts w:ascii="Verdana" w:hAnsi="Verdana"/>
                      <w:color w:val="000066"/>
                      <w:sz w:val="21"/>
                      <w:szCs w:val="21"/>
                    </w:rPr>
                    <w:t>Grant Thornton</w:t>
                  </w:r>
                  <w:r>
                    <w:rPr>
                      <w:rFonts w:ascii="Verdana" w:hAnsi="Verdana"/>
                      <w:b/>
                      <w:bCs/>
                      <w:color w:val="000066"/>
                      <w:sz w:val="21"/>
                      <w:szCs w:val="21"/>
                    </w:rPr>
                    <w:br/>
                  </w:r>
                  <w:r>
                    <w:rPr>
                      <w:rStyle w:val="Strong"/>
                      <w:rFonts w:ascii="Verdana" w:hAnsi="Verdana"/>
                      <w:color w:val="000066"/>
                      <w:sz w:val="21"/>
                      <w:szCs w:val="21"/>
                    </w:rPr>
                    <w:t>Level 18,</w:t>
                  </w:r>
                  <w:r>
                    <w:rPr>
                      <w:rFonts w:ascii="Verdana" w:hAnsi="Verdana"/>
                      <w:sz w:val="21"/>
                      <w:szCs w:val="21"/>
                    </w:rPr>
                    <w:t xml:space="preserve"> </w:t>
                  </w:r>
                  <w:r>
                    <w:rPr>
                      <w:rStyle w:val="Strong"/>
                      <w:rFonts w:ascii="Verdana" w:hAnsi="Verdana"/>
                      <w:color w:val="000066"/>
                      <w:sz w:val="21"/>
                      <w:szCs w:val="21"/>
                    </w:rPr>
                    <w:t>145 Ann Street</w:t>
                  </w:r>
                  <w:r>
                    <w:rPr>
                      <w:rFonts w:ascii="Verdana" w:hAnsi="Verdana"/>
                      <w:b/>
                      <w:bCs/>
                      <w:color w:val="000066"/>
                      <w:sz w:val="21"/>
                      <w:szCs w:val="21"/>
                    </w:rPr>
                    <w:br/>
                  </w:r>
                  <w:r>
                    <w:rPr>
                      <w:rStyle w:val="Strong"/>
                      <w:rFonts w:ascii="Verdana" w:hAnsi="Verdana"/>
                      <w:color w:val="000066"/>
                      <w:sz w:val="21"/>
                      <w:szCs w:val="21"/>
                    </w:rPr>
                    <w:t>Brisbane</w:t>
                  </w:r>
                </w:p>
              </w:tc>
            </w:tr>
            <w:tr w:rsidR="00EA7964">
              <w:tc>
                <w:tcPr>
                  <w:tcW w:w="0" w:type="auto"/>
                  <w:hideMark/>
                </w:tcPr>
                <w:p w:rsidR="00EA7964" w:rsidRDefault="00EA7964">
                  <w:pPr>
                    <w:pStyle w:val="NormalWeb"/>
                  </w:pPr>
                  <w:r>
                    <w:rPr>
                      <w:rFonts w:ascii="Verdana" w:hAnsi="Verdana"/>
                      <w:b/>
                      <w:bCs/>
                      <w:color w:val="000066"/>
                      <w:sz w:val="21"/>
                      <w:szCs w:val="21"/>
                    </w:rPr>
                    <w:br/>
                  </w:r>
                  <w:r>
                    <w:rPr>
                      <w:rStyle w:val="Strong"/>
                      <w:rFonts w:ascii="Verdana" w:hAnsi="Verdana"/>
                      <w:color w:val="000066"/>
                      <w:sz w:val="21"/>
                      <w:szCs w:val="21"/>
                    </w:rPr>
                    <w:t>COST:   </w:t>
                  </w:r>
                </w:p>
              </w:tc>
              <w:tc>
                <w:tcPr>
                  <w:tcW w:w="0" w:type="auto"/>
                  <w:hideMark/>
                </w:tcPr>
                <w:p w:rsidR="00EA7964" w:rsidRDefault="00EA7964">
                  <w:pPr>
                    <w:pStyle w:val="NormalWeb"/>
                  </w:pPr>
                  <w:r>
                    <w:rPr>
                      <w:rFonts w:ascii="Verdana" w:hAnsi="Verdana"/>
                      <w:b/>
                      <w:bCs/>
                      <w:color w:val="000066"/>
                      <w:sz w:val="21"/>
                      <w:szCs w:val="21"/>
                    </w:rPr>
                    <w:br/>
                  </w:r>
                  <w:r>
                    <w:rPr>
                      <w:rStyle w:val="Strong"/>
                      <w:rFonts w:ascii="Verdana" w:hAnsi="Verdana"/>
                      <w:color w:val="000066"/>
                      <w:sz w:val="21"/>
                      <w:szCs w:val="21"/>
                    </w:rPr>
                    <w:t>FREE for members</w:t>
                  </w:r>
                  <w:r>
                    <w:rPr>
                      <w:rFonts w:ascii="Verdana" w:hAnsi="Verdana"/>
                      <w:b/>
                      <w:bCs/>
                      <w:color w:val="000066"/>
                      <w:sz w:val="21"/>
                      <w:szCs w:val="21"/>
                    </w:rPr>
                    <w:br/>
                  </w:r>
                  <w:r>
                    <w:rPr>
                      <w:rStyle w:val="Strong"/>
                      <w:rFonts w:ascii="Verdana" w:hAnsi="Verdana"/>
                      <w:color w:val="000066"/>
                      <w:sz w:val="21"/>
                      <w:szCs w:val="21"/>
                    </w:rPr>
                    <w:t>$40 for non-members</w:t>
                  </w:r>
                </w:p>
              </w:tc>
            </w:tr>
          </w:tbl>
          <w:p w:rsidR="00EA7964" w:rsidRDefault="00EA7964">
            <w:pPr>
              <w:rPr>
                <w:rFonts w:eastAsia="Times New Roman"/>
              </w:rPr>
            </w:pPr>
          </w:p>
          <w:p w:rsidR="00EA7964" w:rsidRDefault="00EA7964">
            <w:pPr>
              <w:jc w:val="center"/>
              <w:rPr>
                <w:rFonts w:eastAsia="Times New Roman"/>
              </w:rPr>
            </w:pPr>
          </w:p>
          <w:p w:rsidR="00EA7964" w:rsidRDefault="00EA7964">
            <w:pPr>
              <w:jc w:val="center"/>
              <w:rPr>
                <w:rFonts w:eastAsia="Times New Roman"/>
              </w:rPr>
            </w:pPr>
            <w:r>
              <w:rPr>
                <w:rFonts w:eastAsia="Times New Roman"/>
                <w:noProof/>
                <w:color w:val="0000FF"/>
              </w:rPr>
              <w:drawing>
                <wp:inline distT="0" distB="0" distL="0" distR="0">
                  <wp:extent cx="1200150" cy="428625"/>
                  <wp:effectExtent l="0" t="0" r="0" b="9525"/>
                  <wp:docPr id="2" name="Picture 2" descr="http://www.cppaq.com.au/resources/Pictures/Register%20Now%20button.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paq.com.au/resources/Pictures/Register%20Now%20butt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EA7964" w:rsidRDefault="00EA7964">
            <w:pPr>
              <w:spacing w:after="240"/>
              <w:rPr>
                <w:rFonts w:eastAsia="Times New Roman"/>
              </w:rPr>
            </w:pPr>
            <w:r>
              <w:rPr>
                <w:rFonts w:ascii="Verdana" w:eastAsia="Times New Roman" w:hAnsi="Verdana"/>
                <w:color w:val="808080"/>
                <w:sz w:val="21"/>
                <w:szCs w:val="21"/>
              </w:rPr>
              <w:br/>
            </w:r>
            <w:r>
              <w:rPr>
                <w:rFonts w:ascii="Verdana" w:eastAsia="Times New Roman" w:hAnsi="Verdana"/>
                <w:color w:val="808080"/>
                <w:sz w:val="21"/>
                <w:szCs w:val="21"/>
              </w:rPr>
              <w:br/>
              <w:t>For information about how to join or renew your membership go to</w:t>
            </w:r>
            <w:r>
              <w:rPr>
                <w:rFonts w:ascii="Verdana" w:eastAsia="Times New Roman" w:hAnsi="Verdana"/>
                <w:sz w:val="21"/>
                <w:szCs w:val="21"/>
              </w:rPr>
              <w:t xml:space="preserve"> </w:t>
            </w:r>
            <w:hyperlink r:id="rId8" w:history="1">
              <w:r>
                <w:rPr>
                  <w:rStyle w:val="Hyperlink"/>
                  <w:rFonts w:ascii="Verdana" w:eastAsia="Times New Roman" w:hAnsi="Verdana"/>
                  <w:color w:val="808080"/>
                  <w:sz w:val="21"/>
                  <w:szCs w:val="21"/>
                </w:rPr>
                <w:t>www.cppaq.com.au</w:t>
              </w:r>
            </w:hyperlink>
            <w:r>
              <w:rPr>
                <w:rFonts w:ascii="Verdana" w:eastAsia="Times New Roman" w:hAnsi="Verdana"/>
                <w:sz w:val="21"/>
                <w:szCs w:val="21"/>
              </w:rPr>
              <w:t xml:space="preserve"> </w:t>
            </w:r>
            <w:r>
              <w:rPr>
                <w:rFonts w:ascii="Verdana" w:eastAsia="Times New Roman" w:hAnsi="Verdana"/>
                <w:color w:val="808080"/>
                <w:sz w:val="21"/>
                <w:szCs w:val="21"/>
              </w:rPr>
              <w:t>Membership is vital to support the work of the Association.</w:t>
            </w:r>
            <w:r>
              <w:rPr>
                <w:rFonts w:ascii="Verdana" w:eastAsia="Times New Roman" w:hAnsi="Verdana"/>
                <w:color w:val="000066"/>
                <w:sz w:val="21"/>
                <w:szCs w:val="21"/>
              </w:rPr>
              <w:br/>
            </w:r>
            <w:r>
              <w:rPr>
                <w:rFonts w:ascii="Verdana" w:eastAsia="Times New Roman" w:hAnsi="Verdana"/>
                <w:color w:val="808080"/>
                <w:sz w:val="21"/>
                <w:szCs w:val="21"/>
                <w:shd w:val="clear" w:color="auto" w:fill="FFFFFF"/>
              </w:rPr>
              <w:t>More information and online registration:</w:t>
            </w:r>
            <w:r>
              <w:rPr>
                <w:rFonts w:ascii="Verdana" w:eastAsia="Times New Roman" w:hAnsi="Verdana"/>
                <w:sz w:val="21"/>
                <w:szCs w:val="21"/>
              </w:rPr>
              <w:t xml:space="preserve"> </w:t>
            </w:r>
            <w:hyperlink r:id="rId9" w:history="1">
              <w:r>
                <w:rPr>
                  <w:rStyle w:val="Hyperlink"/>
                  <w:rFonts w:ascii="Verdana" w:eastAsia="Times New Roman" w:hAnsi="Verdana"/>
                  <w:color w:val="808080"/>
                  <w:sz w:val="21"/>
                  <w:szCs w:val="21"/>
                  <w:shd w:val="clear" w:color="auto" w:fill="FFFFFF"/>
                </w:rPr>
                <w:t>www.cppaq.com.au</w:t>
              </w:r>
              <w:r>
                <w:rPr>
                  <w:rFonts w:ascii="Verdana" w:eastAsia="Times New Roman" w:hAnsi="Verdana"/>
                  <w:color w:val="808080"/>
                  <w:sz w:val="21"/>
                  <w:szCs w:val="21"/>
                  <w:u w:val="single"/>
                  <w:shd w:val="clear" w:color="auto" w:fill="FFFFFF"/>
                </w:rPr>
                <w:br/>
              </w:r>
            </w:hyperlink>
            <w:r>
              <w:rPr>
                <w:rFonts w:ascii="Verdana" w:eastAsia="Times New Roman" w:hAnsi="Verdana"/>
                <w:sz w:val="21"/>
                <w:szCs w:val="21"/>
              </w:rPr>
              <w:br/>
            </w:r>
            <w:r>
              <w:rPr>
                <w:rFonts w:ascii="Verdana" w:eastAsia="Times New Roman" w:hAnsi="Verdana"/>
                <w:sz w:val="21"/>
                <w:szCs w:val="21"/>
              </w:rPr>
              <w:br/>
            </w:r>
            <w:r>
              <w:rPr>
                <w:rFonts w:ascii="Verdana" w:eastAsia="Times New Roman" w:hAnsi="Verdana"/>
                <w:noProof/>
                <w:sz w:val="21"/>
                <w:szCs w:val="21"/>
              </w:rPr>
              <w:drawing>
                <wp:inline distT="0" distB="0" distL="0" distR="0">
                  <wp:extent cx="5638800" cy="104775"/>
                  <wp:effectExtent l="0" t="0" r="0" b="9525"/>
                  <wp:docPr id="1" name="Picture 1" descr="http://www.cppaq.com.au/Resources/Pictures/CPPAQ%20Logos/CPPAQ%20Bottom%20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paq.com.au/Resources/Pictures/CPPAQ%20Logos/CPPAQ%20Bottom%20Str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104775"/>
                          </a:xfrm>
                          <a:prstGeom prst="rect">
                            <a:avLst/>
                          </a:prstGeom>
                          <a:noFill/>
                          <a:ln>
                            <a:noFill/>
                          </a:ln>
                        </pic:spPr>
                      </pic:pic>
                    </a:graphicData>
                  </a:graphic>
                </wp:inline>
              </w:drawing>
            </w:r>
          </w:p>
        </w:tc>
      </w:tr>
    </w:tbl>
    <w:p w:rsidR="00EA7964" w:rsidRDefault="00EA7964" w:rsidP="00EA7964">
      <w:pPr>
        <w:rPr>
          <w:rFonts w:eastAsia="Times New Roman"/>
        </w:rPr>
      </w:pPr>
    </w:p>
    <w:p w:rsidR="0086144A" w:rsidRDefault="00EA7964">
      <w:bookmarkStart w:id="0" w:name="_GoBack"/>
      <w:bookmarkEnd w:id="0"/>
    </w:p>
    <w:sectPr w:rsidR="0086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1A3F"/>
    <w:multiLevelType w:val="multilevel"/>
    <w:tmpl w:val="4C444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64"/>
    <w:rsid w:val="005D3585"/>
    <w:rsid w:val="0079012E"/>
    <w:rsid w:val="00EA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2520-E777-49EE-AB6D-EE92D3BD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6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964"/>
    <w:rPr>
      <w:color w:val="0000FF"/>
      <w:u w:val="single"/>
    </w:rPr>
  </w:style>
  <w:style w:type="paragraph" w:styleId="NormalWeb">
    <w:name w:val="Normal (Web)"/>
    <w:basedOn w:val="Normal"/>
    <w:uiPriority w:val="99"/>
    <w:semiHidden/>
    <w:unhideWhenUsed/>
    <w:rsid w:val="00EA7964"/>
    <w:pPr>
      <w:spacing w:before="100" w:beforeAutospacing="1" w:after="100" w:afterAutospacing="1"/>
    </w:pPr>
  </w:style>
  <w:style w:type="character" w:styleId="Strong">
    <w:name w:val="Strong"/>
    <w:basedOn w:val="DefaultParagraphFont"/>
    <w:uiPriority w:val="22"/>
    <w:qFormat/>
    <w:rsid w:val="00EA7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aq.com.au/EmailTracker/LinkTracker.ashx?linkAndRecipientCode=0az6UxKBRpi658YBWYytcbG0RI%2bmdUuCrr8%2bcdqZU5L43iGWNHzZS6IERFw0MdjIIqShNMGh2HsRsvzzNGDnMWAa29wHk42xFNTQhkRav3Q%3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paq.com.au/EmailTracker/LinkTracker.ashx?linkAndRecipientCode=JwH2XJK%2b8V3RYiRzA4Z70JYMU%2fpRH6OvFDucJlfgorgpv2v07Htcxz%2fRsJW3BHntWfnQl1yth45vPCuWAf0BOrO%2bt05Z4SnG%2bPhokKWXSHE%3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ppaq.com.au/EmailTracker/LinkTracker.ashx?linkAndRecipientCode=0az6UxKBRpi658YBWYytcbG0RI%2bmdUuCrr8%2bcdqZU5L43iGWNHzZS6IERFw0MdjIIqShNMGh2HsRsvzzNGDnMWAa29wHk42xFNTQhkRav3Q%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Johnson</dc:creator>
  <cp:keywords/>
  <dc:description/>
  <cp:lastModifiedBy>Justine Johnson</cp:lastModifiedBy>
  <cp:revision>1</cp:revision>
  <dcterms:created xsi:type="dcterms:W3CDTF">2017-01-29T23:21:00Z</dcterms:created>
  <dcterms:modified xsi:type="dcterms:W3CDTF">2017-01-29T23:21:00Z</dcterms:modified>
</cp:coreProperties>
</file>